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5415A7" w14:textId="77777777" w:rsidR="00524511" w:rsidRPr="00524511" w:rsidRDefault="00524511" w:rsidP="00524511">
      <w:pPr>
        <w:rPr>
          <w:rFonts w:ascii="Helvetica Neue" w:eastAsia="Times New Roman" w:hAnsi="Helvetica Neue" w:cs="Times New Roman"/>
          <w:color w:val="111111"/>
        </w:rPr>
      </w:pPr>
      <w:r w:rsidRPr="00524511">
        <w:rPr>
          <w:rFonts w:ascii="Baskerville Old Face" w:eastAsia="Times New Roman" w:hAnsi="Baskerville Old Face" w:cs="Times New Roman"/>
          <w:color w:val="111111"/>
          <w:sz w:val="32"/>
          <w:szCs w:val="32"/>
          <w:bdr w:val="none" w:sz="0" w:space="0" w:color="auto" w:frame="1"/>
        </w:rPr>
        <w:t>Upper and Lower: Southern Cultures, seen from the start</w:t>
      </w:r>
    </w:p>
    <w:p w14:paraId="10C79CF8"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Write 750-1500 words. Make sure to </w:t>
      </w:r>
      <w:r w:rsidRPr="00524511">
        <w:rPr>
          <w:rFonts w:ascii="Cambria" w:eastAsia="Times New Roman" w:hAnsi="Cambria" w:cs="Times New Roman"/>
          <w:b/>
          <w:bCs/>
          <w:color w:val="000000"/>
          <w:sz w:val="20"/>
          <w:szCs w:val="20"/>
          <w:bdr w:val="none" w:sz="0" w:space="0" w:color="auto" w:frame="1"/>
        </w:rPr>
        <w:t>GIVE YOUR PAPER A TITLE</w:t>
      </w:r>
      <w:r w:rsidRPr="00524511">
        <w:rPr>
          <w:rFonts w:ascii="Cambria" w:eastAsia="Times New Roman" w:hAnsi="Cambria" w:cs="Times New Roman"/>
          <w:color w:val="000000"/>
          <w:sz w:val="20"/>
          <w:szCs w:val="20"/>
          <w:bdr w:val="none" w:sz="0" w:space="0" w:color="auto" w:frame="1"/>
        </w:rPr>
        <w:t> that expresses its argument.</w:t>
      </w:r>
    </w:p>
    <w:p w14:paraId="54DD9302"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Write your paper in a word-processing software (and take some time to read and revise it, to clarify your introduction and conclusion and all the parts in between), then upload it to Blackboard. That way you have a copy in case of mishap.</w:t>
      </w:r>
    </w:p>
    <w:p w14:paraId="535DA76A"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b/>
          <w:bCs/>
          <w:color w:val="000000"/>
          <w:sz w:val="20"/>
          <w:szCs w:val="20"/>
          <w:bdr w:val="none" w:sz="0" w:space="0" w:color="auto" w:frame="1"/>
        </w:rPr>
        <w:t>WRITE</w:t>
      </w:r>
      <w:r w:rsidRPr="00524511">
        <w:rPr>
          <w:rFonts w:ascii="Cambria" w:eastAsia="Times New Roman" w:hAnsi="Cambria" w:cs="Times New Roman"/>
          <w:color w:val="000000"/>
          <w:sz w:val="20"/>
          <w:szCs w:val="20"/>
          <w:bdr w:val="none" w:sz="0" w:space="0" w:color="auto" w:frame="1"/>
        </w:rPr>
        <w:t> a paper that makes a claim about the economic and cultural differences between the Upper and the Lower South (represented here by Virginia (twice) and South Carolina (once)).  Your claim (thesis statement) or </w:t>
      </w:r>
      <w:r w:rsidRPr="00524511">
        <w:rPr>
          <w:rFonts w:ascii="Cambria" w:eastAsia="Times New Roman" w:hAnsi="Cambria" w:cs="Times New Roman"/>
          <w:b/>
          <w:bCs/>
          <w:color w:val="000000"/>
          <w:sz w:val="20"/>
          <w:szCs w:val="20"/>
          <w:bdr w:val="none" w:sz="0" w:space="0" w:color="auto" w:frame="1"/>
        </w:rPr>
        <w:t>argument is your answer to the following questions</w:t>
      </w:r>
      <w:r w:rsidRPr="00524511">
        <w:rPr>
          <w:rFonts w:ascii="Cambria" w:eastAsia="Times New Roman" w:hAnsi="Cambria" w:cs="Times New Roman"/>
          <w:color w:val="000000"/>
          <w:sz w:val="20"/>
          <w:szCs w:val="20"/>
          <w:bdr w:val="none" w:sz="0" w:space="0" w:color="auto" w:frame="1"/>
        </w:rPr>
        <w:t>:</w:t>
      </w:r>
    </w:p>
    <w:p w14:paraId="4AEC78BB"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WRITING PROMPT:</w:t>
      </w:r>
    </w:p>
    <w:p w14:paraId="6CE074FF"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What are the economic goals of the English settlers of the two regions, and how do they hope to achieve them? What are the differences and/or similarities between the two?</w:t>
      </w:r>
    </w:p>
    <w:p w14:paraId="79F55D62"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Your argument is a claim about what you think the three documents are saying.  Give your paper a title that says what it is arguing. Write in direct, expository language – tell an ordinary person what this document is telling you. Avoid using the first person: just tell an ordinary person what this document is saying. Make a claim about what these colonists are thinking, and support that claim with evidence from the documents.</w:t>
      </w:r>
      <w:r w:rsidRPr="00524511">
        <w:rPr>
          <w:rFonts w:ascii="Cambria" w:eastAsia="Times New Roman" w:hAnsi="Cambria" w:cs="Times New Roman"/>
          <w:b/>
          <w:bCs/>
          <w:color w:val="111111"/>
          <w:sz w:val="20"/>
          <w:szCs w:val="20"/>
          <w:bdr w:val="none" w:sz="0" w:space="0" w:color="auto" w:frame="1"/>
        </w:rPr>
        <w:t> </w:t>
      </w:r>
    </w:p>
    <w:p w14:paraId="550C7774"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Your sources for this paper are to:</w:t>
      </w:r>
      <w:r w:rsidRPr="00524511">
        <w:rPr>
          <w:rFonts w:ascii="Cambria" w:eastAsia="Times New Roman" w:hAnsi="Cambria" w:cs="Times New Roman"/>
          <w:b/>
          <w:bCs/>
          <w:color w:val="111111"/>
          <w:sz w:val="20"/>
          <w:szCs w:val="20"/>
          <w:bdr w:val="none" w:sz="0" w:space="0" w:color="auto" w:frame="1"/>
        </w:rPr>
        <w:t> </w:t>
      </w:r>
    </w:p>
    <w:p w14:paraId="5A4F8AE9"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b/>
          <w:bCs/>
          <w:color w:val="000000"/>
          <w:sz w:val="20"/>
          <w:szCs w:val="20"/>
          <w:bdr w:val="none" w:sz="0" w:space="0" w:color="auto" w:frame="1"/>
        </w:rPr>
        <w:t>READ </w:t>
      </w:r>
      <w:r w:rsidRPr="00524511">
        <w:rPr>
          <w:rFonts w:ascii="Cambria" w:eastAsia="Times New Roman" w:hAnsi="Cambria" w:cs="Times New Roman"/>
          <w:color w:val="000000"/>
          <w:sz w:val="20"/>
          <w:szCs w:val="20"/>
          <w:bdr w:val="none" w:sz="0" w:space="0" w:color="auto" w:frame="1"/>
        </w:rPr>
        <w:t>the following two secondary sources and one primary source:</w:t>
      </w:r>
      <w:r w:rsidRPr="00524511">
        <w:rPr>
          <w:rFonts w:ascii="Cambria" w:eastAsia="Times New Roman" w:hAnsi="Cambria" w:cs="Times New Roman"/>
          <w:color w:val="111111"/>
          <w:sz w:val="20"/>
          <w:szCs w:val="20"/>
          <w:bdr w:val="none" w:sz="0" w:space="0" w:color="auto" w:frame="1"/>
        </w:rPr>
        <w:t> </w:t>
      </w:r>
    </w:p>
    <w:p w14:paraId="3890EA75"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(Please overlook the impolitic language of these authors (e.g. “first settled;” “first Virginians;” “salvages;” and worse.) Though outdated in tone, these articles express clearly and concisely the cultures you are studying.</w:t>
      </w:r>
    </w:p>
    <w:p w14:paraId="2A7F4DDE"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1 </w:t>
      </w:r>
      <w:r w:rsidRPr="00524511">
        <w:rPr>
          <w:rFonts w:ascii="Times New Roman" w:eastAsia="Times New Roman" w:hAnsi="Times New Roman" w:cs="Times New Roman"/>
          <w:color w:val="000000"/>
          <w:sz w:val="20"/>
          <w:szCs w:val="20"/>
          <w:bdr w:val="none" w:sz="0" w:space="0" w:color="auto" w:frame="1"/>
        </w:rPr>
        <w:t>►</w:t>
      </w:r>
      <w:r w:rsidRPr="00524511">
        <w:rPr>
          <w:rFonts w:ascii="Cambria" w:eastAsia="Times New Roman" w:hAnsi="Cambria" w:cs="Times New Roman"/>
          <w:color w:val="000000"/>
          <w:sz w:val="20"/>
          <w:szCs w:val="20"/>
          <w:bdr w:val="none" w:sz="0" w:space="0" w:color="auto" w:frame="1"/>
        </w:rPr>
        <w:t> Jack. P. Greene, “Colonial South Carolina and the Caribbean Connection.” </w:t>
      </w:r>
      <w:r w:rsidRPr="00524511">
        <w:rPr>
          <w:rFonts w:ascii="Cambria" w:eastAsia="Times New Roman" w:hAnsi="Cambria" w:cs="Times New Roman"/>
          <w:i/>
          <w:iCs/>
          <w:color w:val="000000"/>
          <w:sz w:val="20"/>
          <w:szCs w:val="20"/>
          <w:bdr w:val="none" w:sz="0" w:space="0" w:color="auto" w:frame="1"/>
        </w:rPr>
        <w:t>South Carolina Historical Magazine </w:t>
      </w:r>
      <w:r w:rsidRPr="00524511">
        <w:rPr>
          <w:rFonts w:ascii="Cambria" w:eastAsia="Times New Roman" w:hAnsi="Cambria" w:cs="Times New Roman"/>
          <w:color w:val="000000"/>
          <w:sz w:val="20"/>
          <w:szCs w:val="20"/>
          <w:bdr w:val="none" w:sz="0" w:space="0" w:color="auto" w:frame="1"/>
        </w:rPr>
        <w:t>88, no. 4 (Oct. 1987): 192-210.</w:t>
      </w:r>
    </w:p>
    <w:p w14:paraId="70DAFC70"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Pay particular attention to:</w:t>
      </w:r>
    </w:p>
    <w:p w14:paraId="1C1336C5" w14:textId="77777777" w:rsidR="00524511" w:rsidRPr="00524511" w:rsidRDefault="00524511" w:rsidP="00524511">
      <w:pPr>
        <w:numPr>
          <w:ilvl w:val="0"/>
          <w:numId w:val="1"/>
        </w:numPr>
        <w:ind w:left="0"/>
        <w:rPr>
          <w:rFonts w:ascii="inherit" w:eastAsia="Times New Roman" w:hAnsi="inherit" w:cs="Times New Roman"/>
          <w:color w:val="111111"/>
          <w:sz w:val="20"/>
          <w:szCs w:val="20"/>
        </w:rPr>
      </w:pPr>
      <w:r w:rsidRPr="00524511">
        <w:rPr>
          <w:rFonts w:ascii="Cambria" w:eastAsia="Times New Roman" w:hAnsi="Cambria" w:cs="Times New Roman"/>
          <w:color w:val="000000"/>
          <w:sz w:val="20"/>
          <w:szCs w:val="20"/>
          <w:bdr w:val="none" w:sz="0" w:space="0" w:color="auto" w:frame="1"/>
        </w:rPr>
        <w:t>The Barbadian culture described at the bottom of p. 195</w:t>
      </w:r>
    </w:p>
    <w:p w14:paraId="2828F491" w14:textId="77777777" w:rsidR="00524511" w:rsidRPr="00524511" w:rsidRDefault="00524511" w:rsidP="00524511">
      <w:pPr>
        <w:numPr>
          <w:ilvl w:val="0"/>
          <w:numId w:val="1"/>
        </w:numPr>
        <w:ind w:left="0"/>
        <w:rPr>
          <w:rFonts w:ascii="inherit" w:eastAsia="Times New Roman" w:hAnsi="inherit" w:cs="Times New Roman"/>
          <w:color w:val="111111"/>
          <w:sz w:val="20"/>
          <w:szCs w:val="20"/>
        </w:rPr>
      </w:pPr>
      <w:r w:rsidRPr="00524511">
        <w:rPr>
          <w:rFonts w:ascii="Cambria" w:eastAsia="Times New Roman" w:hAnsi="Cambria" w:cs="Times New Roman"/>
          <w:color w:val="000000"/>
          <w:sz w:val="20"/>
          <w:szCs w:val="20"/>
          <w:bdr w:val="none" w:sz="0" w:space="0" w:color="auto" w:frame="1"/>
        </w:rPr>
        <w:t>Its (uneven) duplication in South Carolina</w:t>
      </w:r>
    </w:p>
    <w:p w14:paraId="463B1FB7"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2 </w:t>
      </w:r>
      <w:r w:rsidRPr="00524511">
        <w:rPr>
          <w:rFonts w:ascii="Times New Roman" w:eastAsia="Times New Roman" w:hAnsi="Times New Roman" w:cs="Times New Roman"/>
          <w:color w:val="000000"/>
          <w:sz w:val="20"/>
          <w:szCs w:val="20"/>
          <w:bdr w:val="none" w:sz="0" w:space="0" w:color="auto" w:frame="1"/>
        </w:rPr>
        <w:t>►</w:t>
      </w:r>
      <w:r w:rsidRPr="00524511">
        <w:rPr>
          <w:rFonts w:ascii="Cambria" w:eastAsia="Times New Roman" w:hAnsi="Cambria" w:cs="Times New Roman"/>
          <w:color w:val="000000"/>
          <w:sz w:val="20"/>
          <w:szCs w:val="20"/>
          <w:bdr w:val="none" w:sz="0" w:space="0" w:color="auto" w:frame="1"/>
        </w:rPr>
        <w:t> Edmund S. Morgan, “The Labor Problem at Jamestown, 1607-18.” </w:t>
      </w:r>
      <w:r w:rsidRPr="00524511">
        <w:rPr>
          <w:rFonts w:ascii="Cambria" w:eastAsia="Times New Roman" w:hAnsi="Cambria" w:cs="Times New Roman"/>
          <w:i/>
          <w:iCs/>
          <w:color w:val="000000"/>
          <w:sz w:val="20"/>
          <w:szCs w:val="20"/>
          <w:bdr w:val="none" w:sz="0" w:space="0" w:color="auto" w:frame="1"/>
        </w:rPr>
        <w:t>American Historical Review </w:t>
      </w:r>
      <w:r w:rsidRPr="00524511">
        <w:rPr>
          <w:rFonts w:ascii="Cambria" w:eastAsia="Times New Roman" w:hAnsi="Cambria" w:cs="Times New Roman"/>
          <w:color w:val="000000"/>
          <w:sz w:val="20"/>
          <w:szCs w:val="20"/>
          <w:bdr w:val="none" w:sz="0" w:space="0" w:color="auto" w:frame="1"/>
        </w:rPr>
        <w:t>76, no. 3 (June 1971): 595-611.</w:t>
      </w:r>
    </w:p>
    <w:p w14:paraId="653C7C6E"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Pay particular attention to:</w:t>
      </w:r>
    </w:p>
    <w:p w14:paraId="5C7E76B4" w14:textId="77777777" w:rsidR="00524511" w:rsidRPr="00524511" w:rsidRDefault="00524511" w:rsidP="00524511">
      <w:pPr>
        <w:numPr>
          <w:ilvl w:val="0"/>
          <w:numId w:val="2"/>
        </w:numPr>
        <w:ind w:left="0"/>
        <w:rPr>
          <w:rFonts w:ascii="inherit" w:eastAsia="Times New Roman" w:hAnsi="inherit" w:cs="Times New Roman"/>
          <w:color w:val="111111"/>
          <w:sz w:val="20"/>
          <w:szCs w:val="20"/>
        </w:rPr>
      </w:pPr>
      <w:r w:rsidRPr="00524511">
        <w:rPr>
          <w:rFonts w:ascii="Cambria" w:eastAsia="Times New Roman" w:hAnsi="Cambria" w:cs="Times New Roman"/>
          <w:color w:val="000000"/>
          <w:sz w:val="20"/>
          <w:szCs w:val="20"/>
          <w:bdr w:val="none" w:sz="0" w:space="0" w:color="auto" w:frame="1"/>
        </w:rPr>
        <w:t>The Virginian culture described from the bottom of pp. 595-597, and the pages that follow</w:t>
      </w:r>
    </w:p>
    <w:p w14:paraId="6AF41753" w14:textId="415E481A" w:rsidR="00524511" w:rsidRPr="00524511" w:rsidRDefault="00524511" w:rsidP="00524511">
      <w:pPr>
        <w:numPr>
          <w:ilvl w:val="0"/>
          <w:numId w:val="2"/>
        </w:numPr>
        <w:ind w:left="0"/>
        <w:rPr>
          <w:rFonts w:ascii="inherit" w:eastAsia="Times New Roman" w:hAnsi="inherit" w:cs="Times New Roman"/>
          <w:color w:val="111111"/>
          <w:sz w:val="20"/>
          <w:szCs w:val="20"/>
        </w:rPr>
      </w:pPr>
      <w:r w:rsidRPr="00524511">
        <w:rPr>
          <w:rFonts w:ascii="Cambria" w:eastAsia="Times New Roman" w:hAnsi="Cambria" w:cs="Times New Roman"/>
          <w:color w:val="000000"/>
          <w:sz w:val="20"/>
          <w:szCs w:val="20"/>
          <w:bdr w:val="none" w:sz="0" w:space="0" w:color="auto" w:frame="1"/>
        </w:rPr>
        <w:t>The questions the author is asking</w:t>
      </w:r>
    </w:p>
    <w:p w14:paraId="312FB52D" w14:textId="77777777" w:rsidR="00524511" w:rsidRPr="00524511" w:rsidRDefault="00524511" w:rsidP="00524511">
      <w:pPr>
        <w:numPr>
          <w:ilvl w:val="0"/>
          <w:numId w:val="3"/>
        </w:numPr>
        <w:ind w:left="0"/>
        <w:rPr>
          <w:rFonts w:ascii="inherit" w:eastAsia="Times New Roman" w:hAnsi="inherit" w:cs="Times New Roman"/>
          <w:color w:val="111111"/>
          <w:sz w:val="20"/>
          <w:szCs w:val="20"/>
        </w:rPr>
      </w:pPr>
      <w:r w:rsidRPr="00524511">
        <w:rPr>
          <w:rFonts w:ascii="Cambria" w:eastAsia="Times New Roman" w:hAnsi="Cambria" w:cs="Times New Roman"/>
          <w:color w:val="000000"/>
          <w:sz w:val="20"/>
          <w:szCs w:val="20"/>
          <w:bdr w:val="none" w:sz="0" w:space="0" w:color="auto" w:frame="1"/>
        </w:rPr>
        <w:t>A “burgess” is kind of a citizen-legislator of an English town – a member of the burg.</w:t>
      </w:r>
    </w:p>
    <w:p w14:paraId="0E465A17" w14:textId="77777777" w:rsidR="00524511" w:rsidRPr="00524511" w:rsidRDefault="00524511" w:rsidP="00524511">
      <w:pPr>
        <w:numPr>
          <w:ilvl w:val="0"/>
          <w:numId w:val="3"/>
        </w:numPr>
        <w:ind w:left="0"/>
        <w:rPr>
          <w:rFonts w:ascii="inherit" w:eastAsia="Times New Roman" w:hAnsi="inherit" w:cs="Times New Roman"/>
          <w:color w:val="111111"/>
          <w:sz w:val="20"/>
          <w:szCs w:val="20"/>
        </w:rPr>
      </w:pPr>
      <w:r w:rsidRPr="00524511">
        <w:rPr>
          <w:rFonts w:ascii="Cambria" w:eastAsia="Times New Roman" w:hAnsi="Cambria" w:cs="Times New Roman"/>
          <w:color w:val="000000"/>
          <w:sz w:val="20"/>
          <w:szCs w:val="20"/>
          <w:bdr w:val="none" w:sz="0" w:space="0" w:color="auto" w:frame="1"/>
        </w:rPr>
        <w:t>A “</w:t>
      </w:r>
      <w:proofErr w:type="spellStart"/>
      <w:r w:rsidRPr="00524511">
        <w:rPr>
          <w:rFonts w:ascii="Cambria" w:eastAsia="Times New Roman" w:hAnsi="Cambria" w:cs="Times New Roman"/>
          <w:color w:val="000000"/>
          <w:sz w:val="20"/>
          <w:szCs w:val="20"/>
          <w:bdr w:val="none" w:sz="0" w:space="0" w:color="auto" w:frame="1"/>
        </w:rPr>
        <w:t>shallop</w:t>
      </w:r>
      <w:proofErr w:type="spellEnd"/>
      <w:r w:rsidRPr="00524511">
        <w:rPr>
          <w:rFonts w:ascii="Cambria" w:eastAsia="Times New Roman" w:hAnsi="Cambria" w:cs="Times New Roman"/>
          <w:color w:val="000000"/>
          <w:sz w:val="20"/>
          <w:szCs w:val="20"/>
          <w:bdr w:val="none" w:sz="0" w:space="0" w:color="auto" w:frame="1"/>
        </w:rPr>
        <w:t>” is a small boat used in coastal navigation.</w:t>
      </w:r>
    </w:p>
    <w:p w14:paraId="3BFAD68F" w14:textId="77777777" w:rsidR="00524511" w:rsidRPr="00524511" w:rsidRDefault="00524511" w:rsidP="00524511">
      <w:pPr>
        <w:numPr>
          <w:ilvl w:val="0"/>
          <w:numId w:val="3"/>
        </w:numPr>
        <w:ind w:left="0"/>
        <w:rPr>
          <w:rFonts w:ascii="inherit" w:eastAsia="Times New Roman" w:hAnsi="inherit" w:cs="Times New Roman"/>
          <w:color w:val="111111"/>
          <w:sz w:val="20"/>
          <w:szCs w:val="20"/>
        </w:rPr>
      </w:pPr>
      <w:r w:rsidRPr="00524511">
        <w:rPr>
          <w:rFonts w:ascii="Cambria" w:eastAsia="Times New Roman" w:hAnsi="Cambria" w:cs="Times New Roman"/>
          <w:color w:val="000000"/>
          <w:sz w:val="20"/>
          <w:szCs w:val="20"/>
          <w:bdr w:val="none" w:sz="0" w:space="0" w:color="auto" w:frame="1"/>
        </w:rPr>
        <w:t>And yes, the letter “s” looks a lot like the letter “f”, but without a full dash through the middle of it. Welcome to typefaces of the seventeenth and eighteenth century. And count yourself lucky that it’s printed – most primary sources before the twentieth century are handwritten.</w:t>
      </w:r>
      <w:r w:rsidRPr="00524511">
        <w:rPr>
          <w:rFonts w:ascii="Cambria" w:eastAsia="Times New Roman" w:hAnsi="Cambria" w:cs="Times New Roman"/>
          <w:color w:val="111111"/>
          <w:sz w:val="20"/>
          <w:szCs w:val="20"/>
          <w:bdr w:val="none" w:sz="0" w:space="0" w:color="auto" w:frame="1"/>
        </w:rPr>
        <w:t> </w:t>
      </w:r>
    </w:p>
    <w:p w14:paraId="2105FA40"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For </w:t>
      </w:r>
      <w:r w:rsidRPr="00524511">
        <w:rPr>
          <w:rFonts w:ascii="Cambria" w:eastAsia="Times New Roman" w:hAnsi="Cambria" w:cs="Times New Roman"/>
          <w:b/>
          <w:bCs/>
          <w:color w:val="000000"/>
          <w:sz w:val="20"/>
          <w:szCs w:val="20"/>
          <w:bdr w:val="none" w:sz="0" w:space="0" w:color="auto" w:frame="1"/>
        </w:rPr>
        <w:t>citations</w:t>
      </w:r>
      <w:r w:rsidRPr="00524511">
        <w:rPr>
          <w:rFonts w:ascii="Cambria" w:eastAsia="Times New Roman" w:hAnsi="Cambria" w:cs="Times New Roman"/>
          <w:color w:val="000000"/>
          <w:sz w:val="20"/>
          <w:szCs w:val="20"/>
          <w:bdr w:val="none" w:sz="0" w:space="0" w:color="auto" w:frame="1"/>
        </w:rPr>
        <w:t>, identify the readings by author and page number.  For example:</w:t>
      </w:r>
    </w:p>
    <w:p w14:paraId="7D5E3BF8"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“During the last half of the seventeenth century [the 1600s], the culture first articulated in Barbados slowly spread…” (Greene, p. 192).</w:t>
      </w:r>
    </w:p>
    <w:p w14:paraId="232F8751"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000000"/>
          <w:sz w:val="20"/>
          <w:szCs w:val="20"/>
          <w:bdr w:val="none" w:sz="0" w:space="0" w:color="auto" w:frame="1"/>
        </w:rPr>
        <w:t>“The settlers fritter away their time and energy, squander their provisions, and starve.” (Morgan, p. 595).</w:t>
      </w:r>
    </w:p>
    <w:p w14:paraId="7166E964"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111111"/>
          <w:sz w:val="20"/>
          <w:szCs w:val="20"/>
          <w:bdr w:val="none" w:sz="0" w:space="0" w:color="auto" w:frame="1"/>
        </w:rPr>
        <w:t xml:space="preserve">“The most convenient place we could </w:t>
      </w:r>
      <w:proofErr w:type="spellStart"/>
      <w:r w:rsidRPr="00524511">
        <w:rPr>
          <w:rFonts w:ascii="Cambria" w:eastAsia="Times New Roman" w:hAnsi="Cambria" w:cs="Times New Roman"/>
          <w:color w:val="111111"/>
          <w:sz w:val="20"/>
          <w:szCs w:val="20"/>
          <w:bdr w:val="none" w:sz="0" w:space="0" w:color="auto" w:frame="1"/>
        </w:rPr>
        <w:t>finde</w:t>
      </w:r>
      <w:proofErr w:type="spellEnd"/>
      <w:r w:rsidRPr="00524511">
        <w:rPr>
          <w:rFonts w:ascii="Cambria" w:eastAsia="Times New Roman" w:hAnsi="Cambria" w:cs="Times New Roman"/>
          <w:color w:val="111111"/>
          <w:sz w:val="20"/>
          <w:szCs w:val="20"/>
          <w:bdr w:val="none" w:sz="0" w:space="0" w:color="auto" w:frame="1"/>
        </w:rPr>
        <w:t xml:space="preserve"> to </w:t>
      </w:r>
      <w:proofErr w:type="spellStart"/>
      <w:r w:rsidRPr="00524511">
        <w:rPr>
          <w:rFonts w:ascii="Cambria" w:eastAsia="Times New Roman" w:hAnsi="Cambria" w:cs="Times New Roman"/>
          <w:color w:val="111111"/>
          <w:sz w:val="20"/>
          <w:szCs w:val="20"/>
          <w:bdr w:val="none" w:sz="0" w:space="0" w:color="auto" w:frame="1"/>
        </w:rPr>
        <w:t>sitt</w:t>
      </w:r>
      <w:proofErr w:type="spellEnd"/>
      <w:r w:rsidRPr="00524511">
        <w:rPr>
          <w:rFonts w:ascii="Cambria" w:eastAsia="Times New Roman" w:hAnsi="Cambria" w:cs="Times New Roman"/>
          <w:color w:val="111111"/>
          <w:sz w:val="20"/>
          <w:szCs w:val="20"/>
          <w:bdr w:val="none" w:sz="0" w:space="0" w:color="auto" w:frame="1"/>
        </w:rPr>
        <w:t xml:space="preserve"> in was the Quire of the </w:t>
      </w:r>
      <w:proofErr w:type="spellStart"/>
      <w:r w:rsidRPr="00524511">
        <w:rPr>
          <w:rFonts w:ascii="Cambria" w:eastAsia="Times New Roman" w:hAnsi="Cambria" w:cs="Times New Roman"/>
          <w:color w:val="111111"/>
          <w:sz w:val="20"/>
          <w:szCs w:val="20"/>
          <w:bdr w:val="none" w:sz="0" w:space="0" w:color="auto" w:frame="1"/>
        </w:rPr>
        <w:t>Churche</w:t>
      </w:r>
      <w:proofErr w:type="spellEnd"/>
      <w:r w:rsidRPr="00524511">
        <w:rPr>
          <w:rFonts w:ascii="Cambria" w:eastAsia="Times New Roman" w:hAnsi="Cambria" w:cs="Times New Roman"/>
          <w:color w:val="111111"/>
          <w:sz w:val="20"/>
          <w:szCs w:val="20"/>
          <w:bdr w:val="none" w:sz="0" w:space="0" w:color="auto" w:frame="1"/>
        </w:rPr>
        <w:t>…” (</w:t>
      </w:r>
      <w:r w:rsidRPr="00524511">
        <w:rPr>
          <w:rFonts w:ascii="Cambria" w:eastAsia="Times New Roman" w:hAnsi="Cambria" w:cs="Times New Roman"/>
          <w:i/>
          <w:iCs/>
          <w:color w:val="111111"/>
          <w:sz w:val="20"/>
          <w:szCs w:val="20"/>
          <w:bdr w:val="none" w:sz="0" w:space="0" w:color="auto" w:frame="1"/>
        </w:rPr>
        <w:t>Journals, </w:t>
      </w:r>
      <w:r w:rsidRPr="00524511">
        <w:rPr>
          <w:rFonts w:ascii="Cambria" w:eastAsia="Times New Roman" w:hAnsi="Cambria" w:cs="Times New Roman"/>
          <w:color w:val="111111"/>
          <w:sz w:val="20"/>
          <w:szCs w:val="20"/>
          <w:bdr w:val="none" w:sz="0" w:space="0" w:color="auto" w:frame="1"/>
        </w:rPr>
        <w:t>vol. 1, p.4).  </w:t>
      </w:r>
    </w:p>
    <w:p w14:paraId="14149FA9" w14:textId="77777777" w:rsidR="00524511" w:rsidRPr="00524511" w:rsidRDefault="00524511" w:rsidP="00524511">
      <w:pPr>
        <w:rPr>
          <w:rFonts w:ascii="Helvetica Neue" w:eastAsia="Times New Roman" w:hAnsi="Helvetica Neue" w:cs="Times New Roman"/>
          <w:color w:val="111111"/>
        </w:rPr>
      </w:pPr>
      <w:r w:rsidRPr="00524511">
        <w:rPr>
          <w:rFonts w:ascii="Cambria" w:eastAsia="Times New Roman" w:hAnsi="Cambria" w:cs="Times New Roman"/>
          <w:color w:val="111111"/>
          <w:sz w:val="20"/>
          <w:szCs w:val="20"/>
          <w:bdr w:val="none" w:sz="0" w:space="0" w:color="auto" w:frame="1"/>
        </w:rPr>
        <w:t>Outside sources are unnecessary, but if you must use them, cite them in accordance with the following guidelines: </w:t>
      </w:r>
      <w:hyperlink r:id="rId5" w:history="1">
        <w:r w:rsidRPr="00524511">
          <w:rPr>
            <w:rFonts w:ascii="inherit" w:eastAsia="Times New Roman" w:hAnsi="inherit" w:cs="Times New Roman"/>
            <w:color w:val="1D1D1D"/>
            <w:sz w:val="20"/>
            <w:szCs w:val="20"/>
            <w:u w:val="single"/>
            <w:bdr w:val="none" w:sz="0" w:space="0" w:color="auto" w:frame="1"/>
          </w:rPr>
          <w:t>https://jah.oah.org/submit/stylesheet/</w:t>
        </w:r>
      </w:hyperlink>
    </w:p>
    <w:p w14:paraId="61056360" w14:textId="77777777" w:rsidR="00A14233" w:rsidRDefault="00524511"/>
    <w:sectPr w:rsidR="00A14233" w:rsidSect="00EC1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Baskerville Old Face">
    <w:panose1 w:val="02020602080505020303"/>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53A6B"/>
    <w:multiLevelType w:val="multilevel"/>
    <w:tmpl w:val="BBB2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7E1422"/>
    <w:multiLevelType w:val="multilevel"/>
    <w:tmpl w:val="3E40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B262AF"/>
    <w:multiLevelType w:val="multilevel"/>
    <w:tmpl w:val="4FC8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11"/>
    <w:rsid w:val="001A2C46"/>
    <w:rsid w:val="00524511"/>
    <w:rsid w:val="00EC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12B077"/>
  <w15:chartTrackingRefBased/>
  <w15:docId w15:val="{64250E99-4309-F74F-AE48-79C13D8D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451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24511"/>
  </w:style>
  <w:style w:type="character" w:customStyle="1" w:styleId="normaltextrun">
    <w:name w:val="normaltextrun"/>
    <w:basedOn w:val="DefaultParagraphFont"/>
    <w:rsid w:val="00524511"/>
  </w:style>
  <w:style w:type="character" w:styleId="Hyperlink">
    <w:name w:val="Hyperlink"/>
    <w:basedOn w:val="DefaultParagraphFont"/>
    <w:uiPriority w:val="99"/>
    <w:semiHidden/>
    <w:unhideWhenUsed/>
    <w:rsid w:val="005245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13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ah.oah.org/submit/styleshe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584</Words>
  <Characters>2635</Characters>
  <Application>Microsoft Office Word</Application>
  <DocSecurity>0</DocSecurity>
  <Lines>37</Lines>
  <Paragraphs>4</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Luevanos, Daniel</cp:lastModifiedBy>
  <cp:revision>1</cp:revision>
  <dcterms:created xsi:type="dcterms:W3CDTF">2020-09-18T13:08:00Z</dcterms:created>
  <dcterms:modified xsi:type="dcterms:W3CDTF">2020-09-18T13:44:00Z</dcterms:modified>
</cp:coreProperties>
</file>